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A9" w:rsidRDefault="005E65A9"/>
    <w:p w:rsidR="007978BB" w:rsidRDefault="007978BB">
      <w:bookmarkStart w:id="0" w:name="_GoBack"/>
      <w:bookmarkEnd w:id="0"/>
    </w:p>
    <w:p w:rsidR="007978BB" w:rsidRPr="007978BB" w:rsidRDefault="007978BB" w:rsidP="007978BB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Corbel" w:hAnsi="Corbel"/>
          <w:color w:val="000033"/>
          <w:sz w:val="48"/>
          <w:szCs w:val="48"/>
        </w:rPr>
      </w:pPr>
      <w:r w:rsidRPr="007978BB">
        <w:rPr>
          <w:rFonts w:ascii="Corbel" w:hAnsi="Corbel"/>
          <w:color w:val="000033"/>
          <w:sz w:val="48"/>
          <w:szCs w:val="48"/>
        </w:rPr>
        <w:t>Mesa de trabajo</w:t>
      </w:r>
    </w:p>
    <w:p w:rsidR="007978BB" w:rsidRDefault="007978BB" w:rsidP="007978B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orbel" w:hAnsi="Corbel"/>
          <w:color w:val="000033"/>
          <w:sz w:val="21"/>
          <w:szCs w:val="21"/>
        </w:rPr>
      </w:pPr>
    </w:p>
    <w:p w:rsidR="007978BB" w:rsidRDefault="007978BB" w:rsidP="007978B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orbel" w:hAnsi="Corbel"/>
          <w:color w:val="000033"/>
          <w:sz w:val="21"/>
          <w:szCs w:val="21"/>
        </w:rPr>
      </w:pPr>
    </w:p>
    <w:p w:rsidR="007978BB" w:rsidRDefault="007978BB" w:rsidP="007978B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orbel" w:hAnsi="Corbel"/>
          <w:color w:val="000033"/>
          <w:sz w:val="21"/>
          <w:szCs w:val="21"/>
        </w:rPr>
      </w:pPr>
      <w:r>
        <w:rPr>
          <w:rFonts w:ascii="Corbel" w:hAnsi="Corbel"/>
          <w:color w:val="000033"/>
          <w:sz w:val="21"/>
          <w:szCs w:val="21"/>
        </w:rPr>
        <w:t>Las mesas de trabajo son estrategias metodológicas cuyo objetivo es el de organizar un análisis en torno a un tópico específico. Por lo general, tienen un número determinado de personas expertas y de participantes. Los productos de una mesa de trabajo, como generalidad, son acuerdos, recomendaciones o declaraciones que tienen como propósito convertirse en elementos que aportan al asunto estudiado.</w:t>
      </w:r>
    </w:p>
    <w:p w:rsidR="007978BB" w:rsidRDefault="007978BB" w:rsidP="007978B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orbel" w:hAnsi="Corbel"/>
          <w:color w:val="000033"/>
          <w:sz w:val="21"/>
          <w:szCs w:val="21"/>
        </w:rPr>
      </w:pPr>
      <w:r>
        <w:rPr>
          <w:rFonts w:ascii="Corbel" w:hAnsi="Corbel"/>
          <w:color w:val="000033"/>
          <w:sz w:val="21"/>
          <w:szCs w:val="21"/>
        </w:rPr>
        <w:t>Como preparación a la IV Conferencia Internacional de Género y Desastres se organizaron 5 mesas de trabajo, en cada una de ellas participó un grupo de personas previamente designada en cada una de las subregiones, Centroamérica, El Caribe y Suramérica, con un objetivo específico que responde a los temas analizados en la agenda del taller preparatorio.</w:t>
      </w:r>
    </w:p>
    <w:p w:rsidR="007978BB" w:rsidRDefault="007978BB" w:rsidP="007978B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orbel" w:hAnsi="Corbel"/>
          <w:color w:val="000033"/>
          <w:sz w:val="21"/>
          <w:szCs w:val="21"/>
        </w:rPr>
      </w:pPr>
      <w:r>
        <w:rPr>
          <w:rFonts w:ascii="Corbel" w:hAnsi="Corbel"/>
          <w:color w:val="000033"/>
          <w:sz w:val="21"/>
          <w:szCs w:val="21"/>
        </w:rPr>
        <w:t>En cada mesa se designó un moderador/a y un relator/a. El papel del moderador/a fue el de organizar la discusión con base en las guías de trabajo. El/la relator/a se encargó de recoger la información derivada del análisis del grupo y socializarla en la plenaria.</w:t>
      </w:r>
    </w:p>
    <w:p w:rsidR="007978BB" w:rsidRDefault="007978BB"/>
    <w:sectPr w:rsidR="007978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BB"/>
    <w:rsid w:val="005E65A9"/>
    <w:rsid w:val="0079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 62</dc:creator>
  <cp:lastModifiedBy>CETis 62</cp:lastModifiedBy>
  <cp:revision>1</cp:revision>
  <dcterms:created xsi:type="dcterms:W3CDTF">2016-02-22T21:20:00Z</dcterms:created>
  <dcterms:modified xsi:type="dcterms:W3CDTF">2016-02-22T21:21:00Z</dcterms:modified>
</cp:coreProperties>
</file>